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2854"/>
        <w15:color w:val="DBDBDB"/>
        <w:docPartObj>
          <w:docPartGallery w:val="Table of Contents"/>
          <w:docPartUnique/>
        </w:docPartObj>
      </w:sdtPr>
      <w:sdtEndPr>
        <w:rPr>
          <w:rFonts w:hint="eastAsia" w:ascii="方正楷体_GBK" w:hAnsi="方正楷体_GBK" w:eastAsia="方正楷体_GBK" w:cs="方正楷体_GBK"/>
          <w:kern w:val="2"/>
          <w:sz w:val="21"/>
          <w:szCs w:val="36"/>
          <w:lang w:val="en-US" w:eastAsia="zh-CN" w:bidi="ar-SA"/>
        </w:rPr>
      </w:sdtEndPr>
      <w:sdtContent>
        <w:p w14:paraId="2232EE3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FC58318">
          <w:pPr>
            <w:pStyle w:val="2"/>
            <w:tabs>
              <w:tab w:val="right" w:leader="dot" w:pos="8306"/>
            </w:tabs>
          </w:pPr>
          <w:r>
            <w:rPr>
              <w:rFonts w:hint="eastAsia" w:ascii="方正楷体_GBK" w:hAnsi="方正楷体_GBK" w:eastAsia="方正楷体_GBK" w:cs="方正楷体_GBK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方正楷体_GBK" w:hAnsi="方正楷体_GBK" w:eastAsia="方正楷体_GBK" w:cs="方正楷体_GBK"/>
              <w:sz w:val="36"/>
              <w:szCs w:val="36"/>
              <w:lang w:val="en-US" w:eastAsia="zh-CN"/>
            </w:rPr>
            <w:instrText xml:space="preserve">TOC \o "1-9" \h \u </w:instrText>
          </w:r>
          <w:r>
            <w:rPr>
              <w:rFonts w:hint="eastAsia" w:ascii="方正楷体_GBK" w:hAnsi="方正楷体_GBK" w:eastAsia="方正楷体_GBK" w:cs="方正楷体_GBK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begin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instrText xml:space="preserve"> HYPERLINK \l _Toc32740 </w:instrText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t xml:space="preserve">一、 </w:t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t>查询缴纳情况</w:t>
          </w:r>
          <w:r>
            <w:tab/>
          </w:r>
          <w:r>
            <w:fldChar w:fldCharType="begin"/>
          </w:r>
          <w:r>
            <w:instrText xml:space="preserve"> PAGEREF _Toc32740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end"/>
          </w:r>
        </w:p>
        <w:p w14:paraId="6B288AB9">
          <w:pPr>
            <w:pStyle w:val="3"/>
            <w:tabs>
              <w:tab w:val="right" w:leader="dot" w:pos="8306"/>
            </w:tabs>
          </w:pP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begin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instrText xml:space="preserve"> HYPERLINK \l _Toc22808 </w:instrText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 xml:space="preserve">1. </w:t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>查询缴纳情况功能</w:t>
          </w:r>
          <w:r>
            <w:tab/>
          </w:r>
          <w:r>
            <w:fldChar w:fldCharType="begin"/>
          </w:r>
          <w:r>
            <w:instrText xml:space="preserve"> PAGEREF _Toc22808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end"/>
          </w:r>
        </w:p>
        <w:p w14:paraId="0FEB56FD">
          <w:pPr>
            <w:pStyle w:val="2"/>
            <w:tabs>
              <w:tab w:val="right" w:leader="dot" w:pos="8306"/>
            </w:tabs>
          </w:pP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begin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instrText xml:space="preserve"> HYPERLINK \l _Toc5734 </w:instrText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 xml:space="preserve">二、 </w:t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>开标后查询缴纳情况</w:t>
          </w:r>
          <w:r>
            <w:tab/>
          </w:r>
          <w:r>
            <w:fldChar w:fldCharType="begin"/>
          </w:r>
          <w:r>
            <w:instrText xml:space="preserve"> PAGEREF _Toc5734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end"/>
          </w:r>
        </w:p>
        <w:p w14:paraId="77074F99">
          <w:pPr>
            <w:pStyle w:val="2"/>
            <w:tabs>
              <w:tab w:val="right" w:leader="dot" w:pos="8306"/>
            </w:tabs>
          </w:pP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begin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instrText xml:space="preserve"> HYPERLINK \l _Toc31274 </w:instrText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 xml:space="preserve">三、 </w:t>
          </w:r>
          <w:r>
            <w:rPr>
              <w:rFonts w:hint="eastAsia" w:ascii="方正楷体_GBK" w:hAnsi="方正楷体_GBK" w:eastAsia="方正楷体_GBK" w:cs="方正楷体_GBK"/>
              <w:szCs w:val="24"/>
              <w:lang w:val="en-US" w:eastAsia="zh-CN"/>
            </w:rPr>
            <w:t>保证金退款、保证金退款查询</w:t>
          </w:r>
          <w:r>
            <w:tab/>
          </w:r>
          <w:r>
            <w:fldChar w:fldCharType="begin"/>
          </w:r>
          <w:r>
            <w:instrText xml:space="preserve"> PAGEREF _Toc31274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end"/>
          </w:r>
        </w:p>
        <w:p w14:paraId="6EAC3F61">
          <w:pPr>
            <w:numPr>
              <w:numId w:val="0"/>
            </w:numPr>
            <w:rPr>
              <w:rFonts w:hint="eastAsia" w:ascii="方正楷体_GBK" w:hAnsi="方正楷体_GBK" w:eastAsia="方正楷体_GBK" w:cs="方正楷体_GBK"/>
              <w:kern w:val="2"/>
              <w:sz w:val="21"/>
              <w:szCs w:val="36"/>
              <w:lang w:val="en-US" w:eastAsia="zh-CN" w:bidi="ar-SA"/>
            </w:rPr>
          </w:pPr>
          <w:r>
            <w:rPr>
              <w:rFonts w:hint="eastAsia" w:ascii="方正楷体_GBK" w:hAnsi="方正楷体_GBK" w:eastAsia="方正楷体_GBK" w:cs="方正楷体_GBK"/>
              <w:szCs w:val="36"/>
              <w:lang w:val="en-US" w:eastAsia="zh-CN"/>
            </w:rPr>
            <w:fldChar w:fldCharType="end"/>
          </w:r>
        </w:p>
      </w:sdtContent>
    </w:sdt>
    <w:p w14:paraId="0043C974">
      <w:pPr>
        <w:numPr>
          <w:numId w:val="0"/>
        </w:numPr>
        <w:rPr>
          <w:rFonts w:hint="eastAsia" w:ascii="方正楷体_GBK" w:hAnsi="方正楷体_GBK" w:eastAsia="方正楷体_GBK" w:cs="方正楷体_GBK"/>
          <w:kern w:val="2"/>
          <w:sz w:val="21"/>
          <w:szCs w:val="36"/>
          <w:lang w:val="en-US" w:eastAsia="zh-CN" w:bidi="ar-SA"/>
        </w:rPr>
      </w:pPr>
    </w:p>
    <w:p w14:paraId="72925DFA">
      <w:pPr>
        <w:numPr>
          <w:ilvl w:val="0"/>
          <w:numId w:val="1"/>
        </w:numPr>
        <w:outlineLvl w:val="0"/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</w:pPr>
      <w:bookmarkStart w:id="0" w:name="_Toc32740"/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查询缴纳情况</w:t>
      </w:r>
      <w:bookmarkEnd w:id="0"/>
    </w:p>
    <w:p w14:paraId="0D3B48B4">
      <w:pPr>
        <w:numPr>
          <w:ilvl w:val="0"/>
          <w:numId w:val="2"/>
        </w:numPr>
        <w:outlineLvl w:val="1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bookmarkStart w:id="1" w:name="_Toc22808"/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查询缴纳情况功能</w:t>
      </w:r>
      <w:bookmarkEnd w:id="1"/>
    </w:p>
    <w:p w14:paraId="30026D31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公开：采购流程管理-公开招标-投标邀请-投标报名信息。</w:t>
      </w:r>
    </w:p>
    <w:p w14:paraId="3607BFCD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邀请：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采购流程管理-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邀请招标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-投标邀请-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凭证审核。</w:t>
      </w:r>
    </w:p>
    <w:p w14:paraId="75D149A9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询比：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采购流程管理-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询比采购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邀请供应商。</w:t>
      </w:r>
    </w:p>
    <w:p w14:paraId="73EA7DF3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竞价：采购流程管理-竞价采购-报名情况</w:t>
      </w:r>
    </w:p>
    <w:p w14:paraId="38C0E509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直接：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采购流程管理-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直接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供应商响应情况</w:t>
      </w:r>
    </w:p>
    <w:p w14:paraId="67639549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谈判：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采购流程管理-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谈判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采购-供应商响应情况</w:t>
      </w:r>
    </w:p>
    <w:p w14:paraId="24997181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以上功能点开可以查看供应商缴纳情况。</w:t>
      </w:r>
    </w:p>
    <w:p w14:paraId="7A8EB018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4150" cy="833755"/>
            <wp:effectExtent l="0" t="0" r="8890" b="4445"/>
            <wp:docPr id="2" name="图片 2" descr="6baf9bd5-e702-4153-a465-61d72bfb7b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af9bd5-e702-4153-a465-61d72bfb7b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7C932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bookmarkStart w:id="2" w:name="_Toc5734"/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开标后查询缴纳情况</w:t>
      </w:r>
      <w:bookmarkEnd w:id="2"/>
    </w:p>
    <w:p w14:paraId="7403A614">
      <w:pPr>
        <w:numPr>
          <w:ilvl w:val="0"/>
          <w:numId w:val="3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财务管理-保证金管理-保证金查询</w:t>
      </w:r>
    </w:p>
    <w:p w14:paraId="6E1381AB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71770" cy="1731645"/>
            <wp:effectExtent l="0" t="0" r="1270" b="5715"/>
            <wp:docPr id="3" name="图片 3" descr="cf7068fc-2084-4eaa-a7c7-7db6f8ead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7068fc-2084-4eaa-a7c7-7db6f8ead2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5CAA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bookmarkStart w:id="3" w:name="_Toc31274"/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保证金退款、保证金退款查询</w:t>
      </w:r>
      <w:bookmarkEnd w:id="3"/>
    </w:p>
    <w:p w14:paraId="2BA3CA03">
      <w:pPr>
        <w:numPr>
          <w:ilvl w:val="0"/>
          <w:numId w:val="4"/>
        </w:numPr>
        <w:ind w:leftChars="0"/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如何退款，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注：如标段</w:t>
      </w:r>
      <w:bookmarkStart w:id="4" w:name="_GoBack"/>
      <w:bookmarkEnd w:id="4"/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中存在多个供应商缴纳保证金，有个别原因不退款，可选择暂不退款，后续可再次新增标段进行单独退款。</w:t>
      </w:r>
    </w:p>
    <w:p w14:paraId="638D4A04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57800" cy="1858010"/>
            <wp:effectExtent l="0" t="0" r="0" b="1270"/>
            <wp:docPr id="4" name="图片 4" descr="3ca631d6-8760-47f2-af04-774b05bac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a631d6-8760-47f2-af04-774b05bac3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CE95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2245" cy="2767965"/>
            <wp:effectExtent l="0" t="0" r="10795" b="5715"/>
            <wp:docPr id="6" name="图片 6" descr="4d2d999c-2dd2-41a1-b561-3807e989d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2d999c-2dd2-41a1-b561-3807e989df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B5295">
      <w:pPr>
        <w:numPr>
          <w:ilvl w:val="0"/>
          <w:numId w:val="4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退款进度查询</w:t>
      </w:r>
    </w:p>
    <w:p w14:paraId="50D0E0DA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6690" cy="1711960"/>
            <wp:effectExtent l="0" t="0" r="6350" b="10160"/>
            <wp:docPr id="8" name="图片 8" descr="900ebd37-b51f-4fb9-99e0-31e906615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0ebd37-b51f-4fb9-99e0-31e9066159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BA24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4785" cy="2832100"/>
            <wp:effectExtent l="0" t="0" r="8255" b="2540"/>
            <wp:docPr id="10" name="图片 10" descr="75b9ef5b-6edb-48cb-abc6-86216ee4b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5b9ef5b-6edb-48cb-abc6-86216ee4b71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4614A4-3F68-49FD-8021-756C789D35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29B9797A-D866-4B31-A7FB-C2B9C41C9D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CDDC9"/>
    <w:multiLevelType w:val="singleLevel"/>
    <w:tmpl w:val="0E0CDD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ED5A61"/>
    <w:multiLevelType w:val="singleLevel"/>
    <w:tmpl w:val="43ED5A6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4F674426"/>
    <w:multiLevelType w:val="singleLevel"/>
    <w:tmpl w:val="4F6744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3CCB10"/>
    <w:multiLevelType w:val="singleLevel"/>
    <w:tmpl w:val="753CCB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2026-02-11T07:50:18Z</dcterms:created>
  <dc:creator>Epoint</dc:creator>
  <cp:lastModifiedBy>Epoint</cp:lastModifiedBy>
  <dcterms:modified xsi:type="dcterms:W3CDTF">2026-02-11T08:55:32Z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eyJoZGlkIjoiYTM3YTE5YTQ5NGU1MTE4ODYwOGFiYWMzZmE5MzQ2ODEiLCJ1c2VySWQiOiIzMTI3MzAzNTIifQ==</vt:lpwstr>
  </property>
  <property fmtid="{D5CDD505-2E9C-101B-9397-08002B2CF9AE}" pid="4" name="ICV">
    <vt:lpwstr>F40207B60F9349BDA63084CD9A5AECCA_12</vt:lpwstr>
  </property>
</Properties>
</file>